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B559" w14:textId="4531F380" w:rsidR="00D803EF" w:rsidRDefault="00D803EF">
      <w:pPr>
        <w:pBdr>
          <w:bottom w:val="single" w:sz="8" w:space="1" w:color="2D6A2D"/>
        </w:pBdr>
        <w:spacing w:after="240"/>
      </w:pPr>
    </w:p>
    <w:p w14:paraId="02EEDD78" w14:textId="74C99BB4" w:rsidR="00D803EF" w:rsidRDefault="00333D0C">
      <w:pPr>
        <w:spacing w:before="200" w:after="100"/>
      </w:pPr>
      <w:r>
        <w:rPr>
          <w:rFonts w:ascii="Arial" w:eastAsia="Arial" w:hAnsi="Arial" w:cs="Arial"/>
          <w:b/>
          <w:bCs/>
          <w:caps/>
          <w:color w:val="B8860B"/>
          <w:sz w:val="20"/>
          <w:szCs w:val="20"/>
        </w:rPr>
        <w:t>SPECIAL REPORT: THE FUTURE OF NITROGEN</w:t>
      </w:r>
      <w:r w:rsidR="00CA73AB" w:rsidRPr="00CA73AB">
        <w:rPr>
          <w:rFonts w:ascii="Arial" w:eastAsia="Arial" w:hAnsi="Arial" w:cs="Arial"/>
          <w:color w:val="888888"/>
          <w:sz w:val="20"/>
          <w:szCs w:val="20"/>
        </w:rPr>
        <w:t xml:space="preserve"> </w:t>
      </w:r>
      <w:r w:rsidR="00CA73AB">
        <w:rPr>
          <w:rFonts w:ascii="Arial" w:eastAsia="Arial" w:hAnsi="Arial" w:cs="Arial"/>
          <w:color w:val="888888"/>
          <w:sz w:val="20"/>
          <w:szCs w:val="20"/>
        </w:rPr>
        <w:t xml:space="preserve">- </w:t>
      </w:r>
      <w:r w:rsidR="00CA73AB">
        <w:rPr>
          <w:rFonts w:ascii="Arial" w:eastAsia="Arial" w:hAnsi="Arial" w:cs="Arial"/>
          <w:color w:val="888888"/>
          <w:sz w:val="20"/>
          <w:szCs w:val="20"/>
        </w:rPr>
        <w:t xml:space="preserve">Andrew Wilmot, Amserve </w:t>
      </w:r>
      <w:r w:rsidR="00A3662E">
        <w:rPr>
          <w:rFonts w:ascii="Arial" w:eastAsia="Arial" w:hAnsi="Arial" w:cs="Arial"/>
          <w:color w:val="888888"/>
          <w:sz w:val="20"/>
          <w:szCs w:val="20"/>
        </w:rPr>
        <w:t>Agri Nutrients</w:t>
      </w:r>
    </w:p>
    <w:p w14:paraId="20B2F8AC" w14:textId="3F3023A6" w:rsidR="00D803EF" w:rsidRDefault="00333D0C">
      <w:pPr>
        <w:pStyle w:val="Heading1"/>
      </w:pPr>
      <w:r>
        <w:t xml:space="preserve">The Nutrient Revolution Is Here — and It Changes Everything for SA </w:t>
      </w:r>
      <w:r w:rsidR="00CA73AB">
        <w:t xml:space="preserve">and Global </w:t>
      </w:r>
      <w:r>
        <w:t>Producers</w:t>
      </w:r>
    </w:p>
    <w:p w14:paraId="0CFA9B2F" w14:textId="608A7E51" w:rsidR="00D803EF" w:rsidRDefault="00CA73AB">
      <w:pPr>
        <w:pBdr>
          <w:bottom w:val="single" w:sz="4" w:space="1" w:color="CCCCCC"/>
        </w:pBdr>
        <w:spacing w:after="320"/>
      </w:pPr>
      <w:r>
        <w:rPr>
          <w:i/>
          <w:iCs/>
          <w:color w:val="555555"/>
        </w:rPr>
        <w:t>Our n</w:t>
      </w:r>
      <w:r w:rsidR="00333D0C">
        <w:rPr>
          <w:i/>
          <w:iCs/>
          <w:color w:val="555555"/>
        </w:rPr>
        <w:t xml:space="preserve">ew biological nitrogen technologies are delivering more than 65 kg of fixed N per </w:t>
      </w:r>
      <w:r w:rsidR="00A3662E">
        <w:rPr>
          <w:i/>
          <w:iCs/>
          <w:color w:val="555555"/>
        </w:rPr>
        <w:t>hectare, at</w:t>
      </w:r>
      <w:r w:rsidR="00333D0C">
        <w:rPr>
          <w:i/>
          <w:iCs/>
          <w:color w:val="555555"/>
        </w:rPr>
        <w:t xml:space="preserve"> a fraction of the cost of urea, with zero volatilisation, no soil acidification, and full regenerative compatibility. </w:t>
      </w:r>
    </w:p>
    <w:p w14:paraId="02F7CAC8" w14:textId="43E972F8" w:rsidR="00D803EF" w:rsidRPr="00A3662E" w:rsidRDefault="00A3662E" w:rsidP="00A3662E">
      <w:pPr>
        <w:spacing w:before="200" w:after="400"/>
        <w:rPr>
          <w:rFonts w:ascii="Arial" w:eastAsia="Arial" w:hAnsi="Arial" w:cs="Arial"/>
          <w:b/>
          <w:bCs/>
          <w:color w:val="2D6A2D"/>
        </w:rPr>
      </w:pPr>
      <w:r w:rsidRPr="00A3662E">
        <w:rPr>
          <w:rFonts w:ascii="Arial" w:eastAsia="Arial" w:hAnsi="Arial" w:cs="Arial"/>
          <w:b/>
          <w:bCs/>
          <w:color w:val="2D6A2D"/>
        </w:rPr>
        <w:t>Here is why every SA Producer should be paying close attention right now</w:t>
      </w:r>
      <w:proofErr w:type="gramStart"/>
      <w:r w:rsidR="00CA73AB" w:rsidRPr="00A3662E">
        <w:rPr>
          <w:rFonts w:ascii="Arial" w:eastAsia="Arial" w:hAnsi="Arial" w:cs="Arial"/>
          <w:b/>
          <w:bCs/>
          <w:color w:val="2D6A2D"/>
        </w:rPr>
        <w:t>…..</w:t>
      </w:r>
      <w:proofErr w:type="gramEnd"/>
      <w:r w:rsidR="00333D0C">
        <w:t>F</w:t>
      </w:r>
      <w:r w:rsidR="00333D0C">
        <w:t>or more than eight decades, the Haber-Bosch process has sat at the foundation of nitrogen fertilisation across South Africa and the world. Urea has been the king</w:t>
      </w:r>
      <w:r w:rsidR="00DB33E5">
        <w:t xml:space="preserve"> of Nitrogen provisions:</w:t>
      </w:r>
      <w:r w:rsidR="00333D0C">
        <w:t xml:space="preserve"> </w:t>
      </w:r>
      <w:r w:rsidR="00333D0C">
        <w:t>reliable, widely available, and universally understood. But that dominance has come at a steep price: volatilisation losses, soil acidification, high logistics costs, supply chain vulnerabilities, and an increasingly uneasy relationship with the principles of regenerative agriculture.</w:t>
      </w:r>
    </w:p>
    <w:p w14:paraId="772B1B2B" w14:textId="679F8888" w:rsidR="00D803EF" w:rsidRDefault="00333D0C">
      <w:pPr>
        <w:spacing w:after="200"/>
      </w:pPr>
      <w:r>
        <w:t>Even our most progressive regenerative producers</w:t>
      </w:r>
      <w:r w:rsidR="00DB33E5">
        <w:t>,</w:t>
      </w:r>
      <w:r>
        <w:t xml:space="preserve"> </w:t>
      </w:r>
      <w:r>
        <w:t>those who have committed to building soil health and reducing input dependency</w:t>
      </w:r>
      <w:r w:rsidR="00DB33E5">
        <w:t xml:space="preserve">, </w:t>
      </w:r>
      <w:r>
        <w:t xml:space="preserve">have continued to struggle with nitrogen shortfalls as they </w:t>
      </w:r>
      <w:r w:rsidR="00DB33E5">
        <w:t xml:space="preserve">try to </w:t>
      </w:r>
      <w:r>
        <w:t xml:space="preserve">scale up productivity targets. The </w:t>
      </w:r>
      <w:r w:rsidR="00DB33E5">
        <w:t>soil Nitrogen bank and input Nitrogen</w:t>
      </w:r>
      <w:r>
        <w:t xml:space="preserve"> has not</w:t>
      </w:r>
      <w:r>
        <w:t xml:space="preserve"> been able to keep pace with yield ambitions. Until now.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6"/>
      </w:tblGrid>
      <w:tr w:rsidR="00D803EF" w14:paraId="594BCF9F" w14:textId="77777777">
        <w:tblPrEx>
          <w:tblCellMar>
            <w:top w:w="0" w:type="dxa"/>
            <w:bottom w:w="0" w:type="dxa"/>
          </w:tblCellMar>
        </w:tblPrEx>
        <w:tc>
          <w:tcPr>
            <w:tcW w:w="9306" w:type="dxa"/>
            <w:tcBorders>
              <w:top w:val="single" w:sz="12" w:space="0" w:color="2D6A2D"/>
              <w:left w:val="none" w:sz="0" w:space="0" w:color="FFFFFF"/>
              <w:bottom w:val="single" w:sz="12" w:space="0" w:color="2D6A2D"/>
              <w:right w:val="none" w:sz="0" w:space="0" w:color="FFFFFF"/>
            </w:tcBorders>
            <w:shd w:val="clear" w:color="auto" w:fill="EAF4EA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4BBE2986" w14:textId="0F20C326" w:rsidR="00D803EF" w:rsidRDefault="00333D0C">
            <w:pPr>
              <w:jc w:val="center"/>
            </w:pPr>
            <w:r>
              <w:rPr>
                <w:b/>
                <w:bCs/>
                <w:i/>
                <w:iCs/>
                <w:color w:val="2D6A2D"/>
                <w:sz w:val="28"/>
                <w:szCs w:val="28"/>
              </w:rPr>
              <w:t xml:space="preserve">“More than 65 kg of </w:t>
            </w:r>
            <w:r>
              <w:rPr>
                <w:b/>
                <w:bCs/>
                <w:i/>
                <w:iCs/>
                <w:color w:val="2D6A2D"/>
                <w:sz w:val="28"/>
                <w:szCs w:val="28"/>
              </w:rPr>
              <w:t xml:space="preserve">mineralised </w:t>
            </w:r>
            <w:r w:rsidR="00DB33E5">
              <w:rPr>
                <w:b/>
                <w:bCs/>
                <w:i/>
                <w:iCs/>
                <w:color w:val="2D6A2D"/>
                <w:sz w:val="28"/>
                <w:szCs w:val="28"/>
              </w:rPr>
              <w:t xml:space="preserve">soil N, </w:t>
            </w:r>
            <w:r w:rsidR="00DB33E5">
              <w:rPr>
                <w:b/>
                <w:bCs/>
                <w:i/>
                <w:iCs/>
                <w:color w:val="2D6A2D"/>
                <w:sz w:val="28"/>
                <w:szCs w:val="28"/>
              </w:rPr>
              <w:t>per hectare</w:t>
            </w:r>
            <w:r w:rsidR="00DB33E5">
              <w:rPr>
                <w:b/>
                <w:bCs/>
                <w:i/>
                <w:iCs/>
                <w:color w:val="2D6A2D"/>
                <w:sz w:val="28"/>
                <w:szCs w:val="28"/>
              </w:rPr>
              <w:t xml:space="preserve"> can now be produced over eight weeks, </w:t>
            </w:r>
            <w:r w:rsidR="00DB33E5">
              <w:rPr>
                <w:b/>
                <w:bCs/>
                <w:i/>
                <w:iCs/>
                <w:color w:val="2D6A2D"/>
                <w:sz w:val="28"/>
                <w:szCs w:val="28"/>
              </w:rPr>
              <w:t>independent</w:t>
            </w:r>
            <w:r w:rsidR="00DB33E5">
              <w:rPr>
                <w:b/>
                <w:bCs/>
                <w:i/>
                <w:iCs/>
                <w:color w:val="2D6A2D"/>
                <w:sz w:val="28"/>
                <w:szCs w:val="28"/>
              </w:rPr>
              <w:t>ly</w:t>
            </w:r>
            <w:r w:rsidR="00DB33E5">
              <w:rPr>
                <w:b/>
                <w:bCs/>
                <w:i/>
                <w:iCs/>
                <w:color w:val="2D6A2D"/>
                <w:sz w:val="28"/>
                <w:szCs w:val="28"/>
              </w:rPr>
              <w:t xml:space="preserve"> of any plant</w:t>
            </w:r>
            <w:r w:rsidR="00DB33E5">
              <w:rPr>
                <w:b/>
                <w:bCs/>
                <w:i/>
                <w:iCs/>
                <w:color w:val="2D6A2D"/>
                <w:sz w:val="28"/>
                <w:szCs w:val="28"/>
              </w:rPr>
              <w:t xml:space="preserve"> or </w:t>
            </w:r>
            <w:r w:rsidR="00DB33E5">
              <w:rPr>
                <w:b/>
                <w:bCs/>
                <w:i/>
                <w:iCs/>
                <w:color w:val="2D6A2D"/>
                <w:sz w:val="28"/>
                <w:szCs w:val="28"/>
              </w:rPr>
              <w:t xml:space="preserve">any chemical process and </w:t>
            </w:r>
            <w:r w:rsidR="00DB33E5">
              <w:rPr>
                <w:b/>
                <w:bCs/>
                <w:i/>
                <w:iCs/>
                <w:color w:val="2D6A2D"/>
                <w:sz w:val="28"/>
                <w:szCs w:val="28"/>
              </w:rPr>
              <w:t xml:space="preserve">is </w:t>
            </w:r>
            <w:r w:rsidR="00DB33E5">
              <w:rPr>
                <w:b/>
                <w:bCs/>
                <w:i/>
                <w:iCs/>
                <w:color w:val="2D6A2D"/>
                <w:sz w:val="28"/>
                <w:szCs w:val="28"/>
              </w:rPr>
              <w:t>available right now</w:t>
            </w:r>
            <w:r w:rsidR="00DB33E5">
              <w:rPr>
                <w:b/>
                <w:bCs/>
                <w:i/>
                <w:iCs/>
                <w:color w:val="2D6A2D"/>
                <w:sz w:val="28"/>
                <w:szCs w:val="28"/>
              </w:rPr>
              <w:t xml:space="preserve"> supported with our Granular </w:t>
            </w:r>
            <w:r w:rsidR="006F5C12">
              <w:rPr>
                <w:b/>
                <w:bCs/>
                <w:i/>
                <w:iCs/>
                <w:color w:val="2D6A2D"/>
                <w:sz w:val="28"/>
                <w:szCs w:val="28"/>
              </w:rPr>
              <w:t xml:space="preserve">Mineral </w:t>
            </w:r>
            <w:r w:rsidR="00DB33E5">
              <w:rPr>
                <w:b/>
                <w:bCs/>
                <w:i/>
                <w:iCs/>
                <w:color w:val="2D6A2D"/>
                <w:sz w:val="28"/>
                <w:szCs w:val="28"/>
              </w:rPr>
              <w:t>provisions</w:t>
            </w:r>
            <w:r>
              <w:rPr>
                <w:b/>
                <w:bCs/>
                <w:i/>
                <w:iCs/>
                <w:color w:val="2D6A2D"/>
                <w:sz w:val="28"/>
                <w:szCs w:val="28"/>
              </w:rPr>
              <w:t>”</w:t>
            </w:r>
          </w:p>
        </w:tc>
      </w:tr>
    </w:tbl>
    <w:p w14:paraId="7AED8D88" w14:textId="77777777" w:rsidR="00CA73AB" w:rsidRDefault="00CA73AB">
      <w:pPr>
        <w:spacing w:after="200"/>
      </w:pPr>
    </w:p>
    <w:p w14:paraId="70744EFC" w14:textId="708A0BA4" w:rsidR="00D803EF" w:rsidRDefault="00333D0C">
      <w:pPr>
        <w:spacing w:after="200"/>
      </w:pPr>
      <w:r>
        <w:t xml:space="preserve">The atmosphere is 78% nitrogen. </w:t>
      </w:r>
      <w:r w:rsidR="00A206AA">
        <w:t>W</w:t>
      </w:r>
      <w:r>
        <w:t xml:space="preserve">hat has changed </w:t>
      </w:r>
      <w:r w:rsidR="00A206AA">
        <w:t xml:space="preserve">dramatically </w:t>
      </w:r>
      <w:r>
        <w:t xml:space="preserve">is our ability to </w:t>
      </w:r>
      <w:r w:rsidR="00A206AA">
        <w:t xml:space="preserve">cost effectively </w:t>
      </w:r>
      <w:r>
        <w:t>harness it</w:t>
      </w:r>
      <w:r w:rsidR="00A206AA">
        <w:t xml:space="preserve">, independently of any plants or </w:t>
      </w:r>
      <w:r w:rsidR="00A206AA">
        <w:t xml:space="preserve">the need for any </w:t>
      </w:r>
      <w:r w:rsidR="00A206AA">
        <w:t>mechanical or electrical means. These b</w:t>
      </w:r>
      <w:r>
        <w:t>reakthroughs in microbial biology have produced new strains and consortia capable of fixing and mineralising atmospheric nitrogen</w:t>
      </w:r>
      <w:r w:rsidR="00A206AA">
        <w:t>, energised with NIR (Near Infra-Red) energy</w:t>
      </w:r>
      <w:r>
        <w:t xml:space="preserve"> at commercially meaningful rates</w:t>
      </w:r>
      <w:r w:rsidR="00A206AA">
        <w:t xml:space="preserve"> (</w:t>
      </w:r>
      <w:r w:rsidR="00A206AA" w:rsidRPr="00A206AA">
        <w:rPr>
          <w:b/>
          <w:bCs/>
          <w:color w:val="2D6A2D"/>
        </w:rPr>
        <w:t xml:space="preserve">of </w:t>
      </w:r>
      <w:r>
        <w:rPr>
          <w:b/>
          <w:bCs/>
          <w:color w:val="2D6A2D"/>
        </w:rPr>
        <w:t>more than 65 kg of plant-available N per hectare</w:t>
      </w:r>
      <w:r w:rsidR="006F5C12">
        <w:rPr>
          <w:b/>
          <w:bCs/>
          <w:color w:val="2D6A2D"/>
        </w:rPr>
        <w:t>,</w:t>
      </w:r>
      <w:r>
        <w:t xml:space="preserve"> </w:t>
      </w:r>
      <w:r w:rsidR="005D4CBF">
        <w:t xml:space="preserve">every eight weeks, </w:t>
      </w:r>
      <w:r>
        <w:t>independently of leguminous host plants</w:t>
      </w:r>
      <w:r w:rsidR="005D4CBF">
        <w:t>)</w:t>
      </w:r>
      <w:r>
        <w:t xml:space="preserve">. </w:t>
      </w:r>
    </w:p>
    <w:p w14:paraId="3906FAA8" w14:textId="30EF723E" w:rsidR="00D803EF" w:rsidRDefault="005D4CBF">
      <w:pPr>
        <w:spacing w:after="200"/>
      </w:pPr>
      <w:r>
        <w:t xml:space="preserve">These </w:t>
      </w:r>
      <w:r w:rsidR="006F5C12">
        <w:t xml:space="preserve">Agri and Bio Granule </w:t>
      </w:r>
      <w:r w:rsidR="00333D0C">
        <w:t xml:space="preserve">products are </w:t>
      </w:r>
      <w:r w:rsidR="006F5C12">
        <w:t xml:space="preserve">now produced and </w:t>
      </w:r>
      <w:r w:rsidR="00333D0C">
        <w:rPr>
          <w:b/>
          <w:bCs/>
        </w:rPr>
        <w:t xml:space="preserve">available in South Africa </w:t>
      </w:r>
      <w:r w:rsidR="006F5C12">
        <w:rPr>
          <w:b/>
          <w:bCs/>
        </w:rPr>
        <w:t>from our Springs Production Facilities.</w:t>
      </w:r>
      <w:r w:rsidR="00333D0C">
        <w:t xml:space="preserve"> They can be </w:t>
      </w:r>
      <w:r w:rsidR="006F5C12">
        <w:t xml:space="preserve">pre-blended and </w:t>
      </w:r>
      <w:r w:rsidR="00333D0C">
        <w:t>deployed as a co-supply alongside existing NPK granule programmes (excluding chemical nitrate-type N/carbon</w:t>
      </w:r>
      <w:r w:rsidR="00A206AA">
        <w:t xml:space="preserve">, to exclude </w:t>
      </w:r>
      <w:r w:rsidR="006F5C12">
        <w:t>explosive blend risks</w:t>
      </w:r>
      <w:r w:rsidR="00333D0C">
        <w:t>), or as</w:t>
      </w:r>
      <w:r w:rsidR="00333D0C">
        <w:t xml:space="preserve"> stand</w:t>
      </w:r>
      <w:r>
        <w:t>-</w:t>
      </w:r>
      <w:r w:rsidR="00333D0C">
        <w:t>alone</w:t>
      </w:r>
      <w:r w:rsidR="00CA73AB">
        <w:t xml:space="preserve"> </w:t>
      </w:r>
      <w:r w:rsidR="00333D0C">
        <w:t xml:space="preserve">100% regenerative </w:t>
      </w:r>
      <w:r w:rsidR="006F5C12">
        <w:t>planting band provision</w:t>
      </w:r>
      <w:r w:rsidR="00A206AA">
        <w:t>s with additiona</w:t>
      </w:r>
      <w:r w:rsidR="00733BEB">
        <w:t>l,</w:t>
      </w:r>
      <w:r w:rsidR="00A206AA">
        <w:t xml:space="preserve"> </w:t>
      </w:r>
      <w:r w:rsidR="00333D0C">
        <w:t xml:space="preserve">pre- and post-planting </w:t>
      </w:r>
      <w:r w:rsidR="00A206AA">
        <w:t xml:space="preserve">N and other P, K and Mineral </w:t>
      </w:r>
      <w:r w:rsidR="00333D0C">
        <w:t>provision</w:t>
      </w:r>
      <w:r w:rsidR="00A206AA">
        <w:t>s</w:t>
      </w:r>
      <w:r w:rsidR="00333D0C">
        <w:t>.</w:t>
      </w:r>
    </w:p>
    <w:p w14:paraId="5BCAC217" w14:textId="77777777" w:rsidR="00D803EF" w:rsidRDefault="00333D0C">
      <w:pPr>
        <w:pStyle w:val="Heading2"/>
      </w:pPr>
      <w:r>
        <w:t>Why This Matters to Your Bottom Line</w:t>
      </w:r>
    </w:p>
    <w:p w14:paraId="0C84DC01" w14:textId="68EAAA54" w:rsidR="00D803EF" w:rsidRDefault="00333D0C">
      <w:pPr>
        <w:spacing w:after="160"/>
      </w:pPr>
      <w:r>
        <w:t xml:space="preserve">South African grain producers are facing a perfect storm in 2026: input </w:t>
      </w:r>
      <w:r w:rsidR="00733BEB">
        <w:t xml:space="preserve">Nutrient </w:t>
      </w:r>
      <w:r>
        <w:t>costs that remain stubbornly elevated</w:t>
      </w:r>
      <w:r w:rsidR="00733BEB">
        <w:t xml:space="preserve"> with </w:t>
      </w:r>
      <w:r>
        <w:t xml:space="preserve">commodity prices </w:t>
      </w:r>
      <w:r w:rsidR="00733BEB">
        <w:t xml:space="preserve">still </w:t>
      </w:r>
      <w:r>
        <w:t xml:space="preserve">under </w:t>
      </w:r>
      <w:proofErr w:type="spellStart"/>
      <w:proofErr w:type="gramStart"/>
      <w:r>
        <w:t>pressure</w:t>
      </w:r>
      <w:r w:rsidR="00733BEB">
        <w:t>.Our</w:t>
      </w:r>
      <w:proofErr w:type="spellEnd"/>
      <w:proofErr w:type="gramEnd"/>
      <w:r w:rsidR="00733BEB">
        <w:t xml:space="preserve"> </w:t>
      </w:r>
      <w:r>
        <w:t>Biological nitrogen addresses all three simultaneously</w:t>
      </w:r>
      <w:r w:rsidR="00CA73AB"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976"/>
      </w:tblGrid>
      <w:tr w:rsidR="00D803EF" w14:paraId="42915595" w14:textId="77777777" w:rsidTr="00CA73AB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auto" w:fill="2D6A2D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FF8B833" w14:textId="77777777" w:rsidR="00D803EF" w:rsidRDefault="00333D0C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BENEFIT</w:t>
            </w:r>
          </w:p>
        </w:tc>
        <w:tc>
          <w:tcPr>
            <w:tcW w:w="6976" w:type="dxa"/>
            <w:shd w:val="clear" w:color="auto" w:fill="2D6A2D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3BF7250" w14:textId="77777777" w:rsidR="00D803EF" w:rsidRDefault="00333D0C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WHAT IT MEANS FOR YOUR OPERATION</w:t>
            </w:r>
          </w:p>
        </w:tc>
      </w:tr>
      <w:tr w:rsidR="00D803EF" w14:paraId="7E637012" w14:textId="77777777" w:rsidTr="00CA73AB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bottom w:val="single" w:sz="1" w:space="0" w:color="CCCCCC"/>
            </w:tcBorders>
            <w:shd w:val="clear" w:color="auto" w:fill="EAF4E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C8D0BE5" w14:textId="77777777" w:rsidR="00D803EF" w:rsidRDefault="00333D0C">
            <w:r>
              <w:rPr>
                <w:rFonts w:ascii="Arial" w:eastAsia="Arial" w:hAnsi="Arial" w:cs="Arial"/>
                <w:b/>
                <w:bCs/>
                <w:color w:val="2D6A2D"/>
                <w:sz w:val="22"/>
                <w:szCs w:val="22"/>
              </w:rPr>
              <w:t>Zero Volatilisation</w:t>
            </w:r>
          </w:p>
        </w:tc>
        <w:tc>
          <w:tcPr>
            <w:tcW w:w="6976" w:type="dxa"/>
            <w:tcBorders>
              <w:top w:val="single" w:sz="1" w:space="0" w:color="CCCCCC"/>
              <w:bottom w:val="single" w:sz="1" w:space="0" w:color="CCCCCC"/>
            </w:tcBorders>
            <w:shd w:val="clear" w:color="auto" w:fill="EAF4E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A0E3712" w14:textId="77777777" w:rsidR="00D803EF" w:rsidRDefault="00333D0C">
            <w:r>
              <w:rPr>
                <w:sz w:val="22"/>
                <w:szCs w:val="22"/>
              </w:rPr>
              <w:t>Every kilogram of N applied reaches the soil system. No losses to atmosphere, no early-morning application anxiety, no weather-window stress.</w:t>
            </w:r>
          </w:p>
        </w:tc>
      </w:tr>
      <w:tr w:rsidR="00D803EF" w14:paraId="2F23194E" w14:textId="77777777" w:rsidTr="00CA73AB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bottom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7CF6E21" w14:textId="77777777" w:rsidR="00D803EF" w:rsidRDefault="00333D0C">
            <w:r>
              <w:rPr>
                <w:rFonts w:ascii="Arial" w:eastAsia="Arial" w:hAnsi="Arial" w:cs="Arial"/>
                <w:b/>
                <w:bCs/>
                <w:color w:val="2D6A2D"/>
                <w:sz w:val="22"/>
                <w:szCs w:val="22"/>
              </w:rPr>
              <w:t>No Soil Acidification</w:t>
            </w:r>
          </w:p>
        </w:tc>
        <w:tc>
          <w:tcPr>
            <w:tcW w:w="6976" w:type="dxa"/>
            <w:tcBorders>
              <w:top w:val="single" w:sz="1" w:space="0" w:color="CCCCCC"/>
              <w:bottom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BC0D11C" w14:textId="77777777" w:rsidR="00D803EF" w:rsidRDefault="00333D0C">
            <w:r>
              <w:rPr>
                <w:sz w:val="22"/>
                <w:szCs w:val="22"/>
              </w:rPr>
              <w:t>Eliminate future liming costs. Protect your long-term soil capital without the pH management overhead that synthetic N demands.</w:t>
            </w:r>
          </w:p>
        </w:tc>
      </w:tr>
      <w:tr w:rsidR="00D803EF" w14:paraId="5FE74BFB" w14:textId="77777777" w:rsidTr="00CA73AB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bottom w:val="single" w:sz="1" w:space="0" w:color="CCCCCC"/>
            </w:tcBorders>
            <w:shd w:val="clear" w:color="auto" w:fill="EAF4E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08EA22B" w14:textId="77777777" w:rsidR="00D803EF" w:rsidRDefault="00333D0C">
            <w:r>
              <w:rPr>
                <w:rFonts w:ascii="Arial" w:eastAsia="Arial" w:hAnsi="Arial" w:cs="Arial"/>
                <w:b/>
                <w:bCs/>
                <w:color w:val="2D6A2D"/>
                <w:sz w:val="22"/>
                <w:szCs w:val="22"/>
              </w:rPr>
              <w:t>Lower Logistics Cost</w:t>
            </w:r>
          </w:p>
        </w:tc>
        <w:tc>
          <w:tcPr>
            <w:tcW w:w="6976" w:type="dxa"/>
            <w:tcBorders>
              <w:top w:val="single" w:sz="1" w:space="0" w:color="CCCCCC"/>
              <w:bottom w:val="single" w:sz="1" w:space="0" w:color="CCCCCC"/>
            </w:tcBorders>
            <w:shd w:val="clear" w:color="auto" w:fill="EAF4E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AF04DD9" w14:textId="77777777" w:rsidR="00D803EF" w:rsidRDefault="00333D0C">
            <w:r>
              <w:rPr>
                <w:sz w:val="22"/>
                <w:szCs w:val="22"/>
              </w:rPr>
              <w:t>With negligible physical mass relative to conventional granular N, transport, storage and on-farm handling costs drop dramatically.</w:t>
            </w:r>
          </w:p>
        </w:tc>
      </w:tr>
      <w:tr w:rsidR="00D803EF" w14:paraId="42737254" w14:textId="77777777" w:rsidTr="00CA73AB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bottom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75AC755" w14:textId="77777777" w:rsidR="00D803EF" w:rsidRDefault="00333D0C">
            <w:r>
              <w:rPr>
                <w:rFonts w:ascii="Arial" w:eastAsia="Arial" w:hAnsi="Arial" w:cs="Arial"/>
                <w:b/>
                <w:bCs/>
                <w:color w:val="2D6A2D"/>
                <w:sz w:val="22"/>
                <w:szCs w:val="22"/>
              </w:rPr>
              <w:t>Reduced River Pollution Risk</w:t>
            </w:r>
          </w:p>
        </w:tc>
        <w:tc>
          <w:tcPr>
            <w:tcW w:w="6976" w:type="dxa"/>
            <w:tcBorders>
              <w:top w:val="single" w:sz="1" w:space="0" w:color="CCCCCC"/>
              <w:bottom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09DD7FB" w14:textId="77777777" w:rsidR="00D803EF" w:rsidRDefault="00333D0C">
            <w:r>
              <w:rPr>
                <w:sz w:val="22"/>
                <w:szCs w:val="22"/>
              </w:rPr>
              <w:t>Regulatory and ESG pressure on nutrient runoff is only increasing. Biological N positions your operation ahead of the curve.</w:t>
            </w:r>
          </w:p>
        </w:tc>
      </w:tr>
      <w:tr w:rsidR="00D803EF" w14:paraId="1E150C2A" w14:textId="77777777" w:rsidTr="00CA73AB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bottom w:val="single" w:sz="1" w:space="0" w:color="CCCCCC"/>
            </w:tcBorders>
            <w:shd w:val="clear" w:color="auto" w:fill="EAF4E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1F5D88E" w14:textId="77777777" w:rsidR="00D803EF" w:rsidRDefault="00333D0C">
            <w:r>
              <w:rPr>
                <w:rFonts w:ascii="Arial" w:eastAsia="Arial" w:hAnsi="Arial" w:cs="Arial"/>
                <w:b/>
                <w:bCs/>
                <w:color w:val="2D6A2D"/>
                <w:sz w:val="22"/>
                <w:szCs w:val="22"/>
              </w:rPr>
              <w:t>Supply Chain Independence</w:t>
            </w:r>
          </w:p>
        </w:tc>
        <w:tc>
          <w:tcPr>
            <w:tcW w:w="6976" w:type="dxa"/>
            <w:tcBorders>
              <w:top w:val="single" w:sz="1" w:space="0" w:color="CCCCCC"/>
              <w:bottom w:val="single" w:sz="1" w:space="0" w:color="CCCCCC"/>
            </w:tcBorders>
            <w:shd w:val="clear" w:color="auto" w:fill="EAF4E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F81B54D" w14:textId="77777777" w:rsidR="00D803EF" w:rsidRDefault="00333D0C">
            <w:r>
              <w:rPr>
                <w:sz w:val="22"/>
                <w:szCs w:val="22"/>
              </w:rPr>
              <w:t>Urea prices track global gas markets and geopolitics. Biological N puts you in control of your own input economics.</w:t>
            </w:r>
          </w:p>
        </w:tc>
      </w:tr>
      <w:tr w:rsidR="00D803EF" w14:paraId="4BB660F4" w14:textId="77777777" w:rsidTr="00CA73AB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bottom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8805BC9" w14:textId="77777777" w:rsidR="00D803EF" w:rsidRDefault="00333D0C">
            <w:r>
              <w:rPr>
                <w:rFonts w:ascii="Arial" w:eastAsia="Arial" w:hAnsi="Arial" w:cs="Arial"/>
                <w:b/>
                <w:bCs/>
                <w:color w:val="2D6A2D"/>
                <w:sz w:val="22"/>
                <w:szCs w:val="22"/>
              </w:rPr>
              <w:t>Desert &amp; Marginal Land Potential</w:t>
            </w:r>
          </w:p>
        </w:tc>
        <w:tc>
          <w:tcPr>
            <w:tcW w:w="6976" w:type="dxa"/>
            <w:tcBorders>
              <w:top w:val="single" w:sz="1" w:space="0" w:color="CCCCCC"/>
              <w:bottom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F4DEE28" w14:textId="4B8F0155" w:rsidR="00D803EF" w:rsidRDefault="00333D0C">
            <w:r>
              <w:rPr>
                <w:sz w:val="22"/>
                <w:szCs w:val="22"/>
              </w:rPr>
              <w:t xml:space="preserve">Where water is available, these technologies </w:t>
            </w:r>
            <w:r w:rsidR="005D4CBF">
              <w:rPr>
                <w:sz w:val="22"/>
                <w:szCs w:val="22"/>
              </w:rPr>
              <w:t>enable</w:t>
            </w:r>
            <w:r>
              <w:rPr>
                <w:sz w:val="22"/>
                <w:szCs w:val="22"/>
              </w:rPr>
              <w:t xml:space="preserve"> the</w:t>
            </w:r>
            <w:r w:rsidR="005D4CBF">
              <w:rPr>
                <w:sz w:val="22"/>
                <w:szCs w:val="22"/>
              </w:rPr>
              <w:t xml:space="preserve"> early and </w:t>
            </w:r>
            <w:r w:rsidR="00CA73AB">
              <w:rPr>
                <w:sz w:val="22"/>
                <w:szCs w:val="22"/>
              </w:rPr>
              <w:t>cost-effective</w:t>
            </w:r>
            <w:r w:rsidR="005D4C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conver</w:t>
            </w:r>
            <w:r w:rsidR="005D4CBF">
              <w:rPr>
                <w:sz w:val="22"/>
                <w:szCs w:val="22"/>
              </w:rPr>
              <w:t xml:space="preserve">sion of </w:t>
            </w:r>
            <w:r>
              <w:rPr>
                <w:sz w:val="22"/>
                <w:szCs w:val="22"/>
              </w:rPr>
              <w:t xml:space="preserve">degraded or </w:t>
            </w:r>
            <w:r w:rsidR="005D4CBF">
              <w:rPr>
                <w:sz w:val="22"/>
                <w:szCs w:val="22"/>
              </w:rPr>
              <w:t xml:space="preserve">overly </w:t>
            </w:r>
            <w:r>
              <w:rPr>
                <w:sz w:val="22"/>
                <w:szCs w:val="22"/>
              </w:rPr>
              <w:t>sandy soils into productive agricultural land at viable cost</w:t>
            </w:r>
            <w:r w:rsidR="005D4CBF">
              <w:rPr>
                <w:sz w:val="22"/>
                <w:szCs w:val="22"/>
              </w:rPr>
              <w:t xml:space="preserve"> with our Bento desert range of Nutrients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2EB2441D" w14:textId="77777777" w:rsidR="00D803EF" w:rsidRDefault="00333D0C">
      <w:pPr>
        <w:pStyle w:val="Heading2"/>
        <w:spacing w:before="400"/>
      </w:pPr>
      <w:r>
        <w:t>The Regenerative Producer’s Advantage</w:t>
      </w:r>
    </w:p>
    <w:p w14:paraId="07EBCD5A" w14:textId="591043B8" w:rsidR="00D803EF" w:rsidRDefault="00333D0C">
      <w:pPr>
        <w:spacing w:after="200"/>
      </w:pPr>
      <w:r>
        <w:t xml:space="preserve">For those already </w:t>
      </w:r>
      <w:r w:rsidRPr="005D4CBF">
        <w:rPr>
          <w:b/>
          <w:bCs/>
        </w:rPr>
        <w:t>on a regenerative journey</w:t>
      </w:r>
      <w:r>
        <w:t>, this is not a disruption</w:t>
      </w:r>
      <w:r w:rsidR="005D4CBF">
        <w:t xml:space="preserve">, </w:t>
      </w:r>
      <w:r w:rsidRPr="005D4CBF">
        <w:rPr>
          <w:b/>
          <w:bCs/>
        </w:rPr>
        <w:t xml:space="preserve">it is the missing </w:t>
      </w:r>
      <w:r w:rsidR="005D4CBF" w:rsidRPr="005D4CBF">
        <w:rPr>
          <w:b/>
          <w:bCs/>
        </w:rPr>
        <w:t>link to easy and continuous soil productivity</w:t>
      </w:r>
      <w:r>
        <w:t xml:space="preserve">. </w:t>
      </w:r>
      <w:r w:rsidR="005D4CBF">
        <w:br/>
        <w:t xml:space="preserve">Our </w:t>
      </w:r>
      <w:r>
        <w:t xml:space="preserve">Biological nitrogen does not damage the soil microbiome the way synthetic nitrogen does. It works </w:t>
      </w:r>
      <w:r>
        <w:rPr>
          <w:i/>
          <w:iCs/>
        </w:rPr>
        <w:t>with</w:t>
      </w:r>
      <w:r>
        <w:t xml:space="preserve"> the biology </w:t>
      </w:r>
      <w:r w:rsidR="005D4CBF">
        <w:t xml:space="preserve">and organic matter </w:t>
      </w:r>
      <w:r>
        <w:t xml:space="preserve">you have been building, not against it. For conventional producers, it represents </w:t>
      </w:r>
      <w:r w:rsidRPr="005D4CBF">
        <w:rPr>
          <w:b/>
          <w:bCs/>
        </w:rPr>
        <w:t>a low-risk entry point into regenerative practice that does not require abandoning existing yield targets.</w:t>
      </w:r>
    </w:p>
    <w:p w14:paraId="7C31ADBD" w14:textId="39C0B513" w:rsidR="00D803EF" w:rsidRDefault="005D4CBF">
      <w:pPr>
        <w:spacing w:after="200"/>
      </w:pPr>
      <w:r>
        <w:t xml:space="preserve">We </w:t>
      </w:r>
      <w:r w:rsidR="00333D0C">
        <w:t>encourage</w:t>
      </w:r>
      <w:r w:rsidR="00333D0C">
        <w:t xml:space="preserve"> every producer </w:t>
      </w:r>
      <w:r>
        <w:t xml:space="preserve">not already on our network, </w:t>
      </w:r>
      <w:r w:rsidR="00333D0C">
        <w:t>to treat the current season as the opportunity to trial these technologies on a portion of your hectares</w:t>
      </w:r>
      <w:r>
        <w:t>, with your local soils, weather and crops</w:t>
      </w:r>
      <w:r w:rsidR="00333D0C">
        <w:t xml:space="preserve">. </w:t>
      </w:r>
      <w:r>
        <w:t xml:space="preserve">It is the new step to profitable </w:t>
      </w:r>
      <w:r w:rsidR="00733BEB">
        <w:t xml:space="preserve">productivity, even in tough years! Our </w:t>
      </w:r>
      <w:r w:rsidR="00333D0C">
        <w:t xml:space="preserve">Biological nitrogen </w:t>
      </w:r>
      <w:r w:rsidR="00733BEB">
        <w:t xml:space="preserve">and full NPK Plus Nutrients are </w:t>
      </w:r>
      <w:r w:rsidR="00333D0C">
        <w:t>no longer a future technology</w:t>
      </w:r>
      <w:r w:rsidR="00733BEB">
        <w:t>, they are a</w:t>
      </w:r>
      <w:r w:rsidR="00333D0C">
        <w:t xml:space="preserve"> present</w:t>
      </w:r>
      <w:r w:rsidR="00733BEB">
        <w:t xml:space="preserve"> </w:t>
      </w:r>
      <w:r w:rsidR="00333D0C">
        <w:t>season decision.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8"/>
      </w:tblGrid>
      <w:tr w:rsidR="00D803EF" w14:paraId="5E09DB05" w14:textId="77777777" w:rsidTr="00CA73AB">
        <w:tblPrEx>
          <w:tblCellMar>
            <w:top w:w="0" w:type="dxa"/>
            <w:bottom w:w="0" w:type="dxa"/>
          </w:tblCellMar>
        </w:tblPrEx>
        <w:tc>
          <w:tcPr>
            <w:tcW w:w="9908" w:type="dxa"/>
            <w:tcBorders>
              <w:top w:val="single" w:sz="12" w:space="0" w:color="B8860B"/>
              <w:left w:val="single" w:sz="12" w:space="0" w:color="B8860B"/>
              <w:bottom w:val="single" w:sz="12" w:space="0" w:color="B8860B"/>
              <w:right w:val="single" w:sz="12" w:space="0" w:color="B8860B"/>
            </w:tcBorders>
            <w:shd w:val="clear" w:color="auto" w:fill="FFF8E1"/>
            <w:tcMar>
              <w:top w:w="220" w:type="dxa"/>
              <w:left w:w="300" w:type="dxa"/>
              <w:bottom w:w="220" w:type="dxa"/>
              <w:right w:w="300" w:type="dxa"/>
            </w:tcMar>
          </w:tcPr>
          <w:p w14:paraId="18E326C5" w14:textId="23142529" w:rsidR="00D803EF" w:rsidRDefault="00733BEB">
            <w:pPr>
              <w:spacing w:after="120"/>
            </w:pPr>
            <w:r>
              <w:rPr>
                <w:rFonts w:ascii="Arial" w:eastAsia="Arial" w:hAnsi="Arial" w:cs="Arial"/>
                <w:b/>
                <w:bCs/>
                <w:caps/>
                <w:color w:val="B8860B"/>
              </w:rPr>
              <w:t xml:space="preserve">Talk to your </w:t>
            </w:r>
            <w:r w:rsidR="00333D0C">
              <w:rPr>
                <w:rFonts w:ascii="Arial" w:eastAsia="Arial" w:hAnsi="Arial" w:cs="Arial"/>
                <w:b/>
                <w:bCs/>
                <w:caps/>
                <w:color w:val="B8860B"/>
              </w:rPr>
              <w:t>AGRONOMIST THIS SEASON</w:t>
            </w:r>
          </w:p>
          <w:p w14:paraId="5D5317D3" w14:textId="0477DD83" w:rsidR="00D803EF" w:rsidRDefault="00333D0C">
            <w:pPr>
              <w:spacing w:after="100"/>
            </w:pPr>
            <w:r>
              <w:rPr>
                <w:sz w:val="23"/>
                <w:szCs w:val="23"/>
              </w:rPr>
              <w:t>Ask specifically about biological nitrogen options that are compatible with your current NPK programme. Request trial plot designs for a portion of your farm so you can measure N outputs, soil biology response, and input cost savings against your conventional blocks</w:t>
            </w:r>
            <w:r w:rsidR="00CA73AB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with your own data, on your own land.</w:t>
            </w:r>
          </w:p>
          <w:p w14:paraId="57C5E5B3" w14:textId="04855BA5" w:rsidR="00D803EF" w:rsidRDefault="00333D0C">
            <w:r>
              <w:rPr>
                <w:b/>
                <w:bCs/>
                <w:sz w:val="23"/>
                <w:szCs w:val="23"/>
              </w:rPr>
              <w:t>The producers who trial this season will have two seasons of data when the wider market catches up. First-mover advantage in input cost reduction is real</w:t>
            </w:r>
            <w:r w:rsidR="00CA73AB">
              <w:rPr>
                <w:b/>
                <w:bCs/>
                <w:sz w:val="23"/>
                <w:szCs w:val="23"/>
              </w:rPr>
              <w:t>,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and it is available now.</w:t>
            </w:r>
          </w:p>
        </w:tc>
      </w:tr>
    </w:tbl>
    <w:p w14:paraId="3B24243C" w14:textId="638AE6C9" w:rsidR="00D803EF" w:rsidRDefault="00D803EF">
      <w:pPr>
        <w:pBdr>
          <w:top w:val="single" w:sz="4" w:space="1" w:color="CCCCCC"/>
        </w:pBdr>
        <w:spacing w:before="480"/>
      </w:pPr>
    </w:p>
    <w:sectPr w:rsidR="00D803EF">
      <w:pgSz w:w="11906" w:h="16838"/>
      <w:pgMar w:top="1440" w:right="1300" w:bottom="1440" w:left="13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5DDA" w14:textId="77777777" w:rsidR="00333D0C" w:rsidRDefault="00333D0C" w:rsidP="00A3662E">
      <w:r>
        <w:separator/>
      </w:r>
    </w:p>
  </w:endnote>
  <w:endnote w:type="continuationSeparator" w:id="0">
    <w:p w14:paraId="7D175762" w14:textId="77777777" w:rsidR="00333D0C" w:rsidRDefault="00333D0C" w:rsidP="00A3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1B60A" w14:textId="77777777" w:rsidR="00333D0C" w:rsidRDefault="00333D0C" w:rsidP="00A3662E">
      <w:r>
        <w:separator/>
      </w:r>
    </w:p>
  </w:footnote>
  <w:footnote w:type="continuationSeparator" w:id="0">
    <w:p w14:paraId="5CB9414F" w14:textId="77777777" w:rsidR="00333D0C" w:rsidRDefault="00333D0C" w:rsidP="00A36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460B3"/>
    <w:multiLevelType w:val="hybridMultilevel"/>
    <w:tmpl w:val="82FEC26A"/>
    <w:lvl w:ilvl="0" w:tplc="DF3EF0FA">
      <w:start w:val="1"/>
      <w:numFmt w:val="bullet"/>
      <w:lvlText w:val="●"/>
      <w:lvlJc w:val="left"/>
      <w:pPr>
        <w:ind w:left="720" w:hanging="360"/>
      </w:pPr>
    </w:lvl>
    <w:lvl w:ilvl="1" w:tplc="45A0714C">
      <w:start w:val="1"/>
      <w:numFmt w:val="bullet"/>
      <w:lvlText w:val="○"/>
      <w:lvlJc w:val="left"/>
      <w:pPr>
        <w:ind w:left="1440" w:hanging="360"/>
      </w:pPr>
    </w:lvl>
    <w:lvl w:ilvl="2" w:tplc="DFAA3B98">
      <w:start w:val="1"/>
      <w:numFmt w:val="bullet"/>
      <w:lvlText w:val="■"/>
      <w:lvlJc w:val="left"/>
      <w:pPr>
        <w:ind w:left="2160" w:hanging="360"/>
      </w:pPr>
    </w:lvl>
    <w:lvl w:ilvl="3" w:tplc="C5003A08">
      <w:start w:val="1"/>
      <w:numFmt w:val="bullet"/>
      <w:lvlText w:val="●"/>
      <w:lvlJc w:val="left"/>
      <w:pPr>
        <w:ind w:left="2880" w:hanging="360"/>
      </w:pPr>
    </w:lvl>
    <w:lvl w:ilvl="4" w:tplc="C812E7E0">
      <w:start w:val="1"/>
      <w:numFmt w:val="bullet"/>
      <w:lvlText w:val="○"/>
      <w:lvlJc w:val="left"/>
      <w:pPr>
        <w:ind w:left="3600" w:hanging="360"/>
      </w:pPr>
    </w:lvl>
    <w:lvl w:ilvl="5" w:tplc="FA042144">
      <w:start w:val="1"/>
      <w:numFmt w:val="bullet"/>
      <w:lvlText w:val="■"/>
      <w:lvlJc w:val="left"/>
      <w:pPr>
        <w:ind w:left="4320" w:hanging="360"/>
      </w:pPr>
    </w:lvl>
    <w:lvl w:ilvl="6" w:tplc="B46E98C8">
      <w:start w:val="1"/>
      <w:numFmt w:val="bullet"/>
      <w:lvlText w:val="●"/>
      <w:lvlJc w:val="left"/>
      <w:pPr>
        <w:ind w:left="5040" w:hanging="360"/>
      </w:pPr>
    </w:lvl>
    <w:lvl w:ilvl="7" w:tplc="98AA3576">
      <w:start w:val="1"/>
      <w:numFmt w:val="bullet"/>
      <w:lvlText w:val="●"/>
      <w:lvlJc w:val="left"/>
      <w:pPr>
        <w:ind w:left="5760" w:hanging="360"/>
      </w:pPr>
    </w:lvl>
    <w:lvl w:ilvl="8" w:tplc="36024C36">
      <w:start w:val="1"/>
      <w:numFmt w:val="bullet"/>
      <w:lvlText w:val="●"/>
      <w:lvlJc w:val="left"/>
      <w:pPr>
        <w:ind w:left="6480" w:hanging="360"/>
      </w:pPr>
    </w:lvl>
  </w:abstractNum>
  <w:num w:numId="1" w16cid:durableId="18295941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3EF"/>
    <w:rsid w:val="00017BE5"/>
    <w:rsid w:val="00245F05"/>
    <w:rsid w:val="00333D0C"/>
    <w:rsid w:val="00390783"/>
    <w:rsid w:val="005D4CBF"/>
    <w:rsid w:val="00692B74"/>
    <w:rsid w:val="006F5C12"/>
    <w:rsid w:val="00733BEB"/>
    <w:rsid w:val="00A206AA"/>
    <w:rsid w:val="00A3662E"/>
    <w:rsid w:val="00CA73AB"/>
    <w:rsid w:val="00D803EF"/>
    <w:rsid w:val="00DB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2934D4"/>
  <w15:docId w15:val="{973F940F-0624-40E7-83B5-38E8D90E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color w:val="333333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200"/>
      <w:outlineLvl w:val="0"/>
    </w:pPr>
    <w:rPr>
      <w:rFonts w:ascii="Arial" w:eastAsia="Arial" w:hAnsi="Arial" w:cs="Arial"/>
      <w:b/>
      <w:bCs/>
      <w:color w:val="2D6A2D"/>
      <w:sz w:val="44"/>
      <w:szCs w:val="44"/>
    </w:rPr>
  </w:style>
  <w:style w:type="paragraph" w:styleId="Heading2">
    <w:name w:val="heading 2"/>
    <w:uiPriority w:val="9"/>
    <w:unhideWhenUsed/>
    <w:qFormat/>
    <w:pPr>
      <w:spacing w:before="300" w:after="120"/>
      <w:outlineLvl w:val="1"/>
    </w:pPr>
    <w:rPr>
      <w:rFonts w:ascii="Arial" w:eastAsia="Arial" w:hAnsi="Arial" w:cs="Arial"/>
      <w:b/>
      <w:bCs/>
      <w:color w:val="2D6A2D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66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62E"/>
  </w:style>
  <w:style w:type="paragraph" w:styleId="Footer">
    <w:name w:val="footer"/>
    <w:basedOn w:val="Normal"/>
    <w:link w:val="FooterChar"/>
    <w:uiPriority w:val="99"/>
    <w:unhideWhenUsed/>
    <w:rsid w:val="00A366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Andrew Wilmot</cp:lastModifiedBy>
  <cp:revision>2</cp:revision>
  <cp:lastPrinted>2026-06-09T12:59:00Z</cp:lastPrinted>
  <dcterms:created xsi:type="dcterms:W3CDTF">2026-06-09T11:41:00Z</dcterms:created>
  <dcterms:modified xsi:type="dcterms:W3CDTF">2026-06-09T11:41:00Z</dcterms:modified>
</cp:coreProperties>
</file>